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Melanocyte and Pigment Disorders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workshop covers everything you need to know about treating clients with hyperpigmentation with professional confidence.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Learning Objectives: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Melanocytes.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about the types of pigmentation.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how it affects the function of the skin cells.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about what causes Hyperpigmentation.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Understand the Fitzpatrick Scale for skin colour and how this factors into how prone people can be of pigment disorders.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Practical Objectives: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Learn how to treat Hyperpigmentation and the recommended products available.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how to use your Skin Consultation as a tool to set realistic expectations for your client.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Course details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Duration 6 hours (50/50 theory and practical)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Certificate of Attendance (evaluated by participating)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Cost: 250$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Participants: Current Licensed Aestheticians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